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BC" w:rsidRPr="00E94EBC" w:rsidRDefault="00754021" w:rsidP="00E94EBC">
      <w:pPr>
        <w:ind w:left="-709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754021">
        <w:rPr>
          <w:rFonts w:ascii="Arial" w:hAnsi="Arial" w:cs="Arial"/>
          <w:noProof/>
          <w:color w:val="365F91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8309" wp14:editId="1365A52C">
                <wp:simplePos x="0" y="0"/>
                <wp:positionH relativeFrom="column">
                  <wp:posOffset>5214256</wp:posOffset>
                </wp:positionH>
                <wp:positionV relativeFrom="paragraph">
                  <wp:posOffset>-816429</wp:posOffset>
                </wp:positionV>
                <wp:extent cx="112249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49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21" w:rsidRDefault="00754021">
                            <w:r w:rsidRPr="00FA0F01">
                              <w:rPr>
                                <w:noProof/>
                              </w:rPr>
                              <w:drawing>
                                <wp:inline distT="0" distB="0" distL="0" distR="0" wp14:anchorId="0080D405" wp14:editId="69526741">
                                  <wp:extent cx="930275" cy="1002017"/>
                                  <wp:effectExtent l="0" t="0" r="317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1002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5pt;margin-top:-64.3pt;width:8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" filled="f" stroked="f">
                <v:textbox style="mso-fit-shape-to-text:t">
                  <w:txbxContent>
                    <w:p w:rsidR="00754021" w:rsidRDefault="00754021">
                      <w:r w:rsidRPr="00FA0F01">
                        <w:rPr>
                          <w:noProof/>
                        </w:rPr>
                        <w:drawing>
                          <wp:inline distT="0" distB="0" distL="0" distR="0" wp14:anchorId="0080D405" wp14:editId="69526741">
                            <wp:extent cx="930275" cy="1002017"/>
                            <wp:effectExtent l="0" t="0" r="317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1002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4EBC" w:rsidRPr="00E94EBC">
        <w:rPr>
          <w:rFonts w:ascii="Arial" w:hAnsi="Arial" w:cs="Arial"/>
          <w:color w:val="365F91" w:themeColor="accent1" w:themeShade="BF"/>
          <w:sz w:val="32"/>
          <w:szCs w:val="32"/>
        </w:rPr>
        <w:t>Assessment and management of suicide risk in people</w:t>
      </w:r>
      <w:r w:rsidR="00E94EBC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  <w:r w:rsidR="00E94EBC" w:rsidRPr="00E94EBC">
        <w:rPr>
          <w:rFonts w:ascii="Arial" w:hAnsi="Arial" w:cs="Arial"/>
          <w:color w:val="365F91" w:themeColor="accent1" w:themeShade="BF"/>
          <w:sz w:val="32"/>
          <w:szCs w:val="32"/>
        </w:rPr>
        <w:t>who repeatedly self-harm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</w:rPr>
      </w:pPr>
      <w:r w:rsidRPr="00E94EBC">
        <w:rPr>
          <w:rFonts w:ascii="Arial" w:hAnsi="Arial" w:cs="Arial"/>
        </w:rPr>
        <w:t xml:space="preserve">This guide </w:t>
      </w:r>
      <w:proofErr w:type="gramStart"/>
      <w:r>
        <w:rPr>
          <w:rFonts w:ascii="Arial" w:hAnsi="Arial" w:cs="Arial"/>
        </w:rPr>
        <w:t xml:space="preserve">only  </w:t>
      </w:r>
      <w:r w:rsidRPr="00E94EBC">
        <w:rPr>
          <w:rFonts w:ascii="Arial" w:hAnsi="Arial" w:cs="Arial"/>
        </w:rPr>
        <w:t>to</w:t>
      </w:r>
      <w:proofErr w:type="gramEnd"/>
      <w:r w:rsidRPr="00E94EBC">
        <w:rPr>
          <w:rFonts w:ascii="Arial" w:hAnsi="Arial" w:cs="Arial"/>
        </w:rPr>
        <w:t xml:space="preserve"> become familiar with the assessment and management of persons with suicidal behaviours, and </w:t>
      </w:r>
      <w:r>
        <w:rPr>
          <w:rFonts w:ascii="Arial" w:hAnsi="Arial" w:cs="Arial"/>
        </w:rPr>
        <w:t xml:space="preserve"> </w:t>
      </w:r>
      <w:r w:rsidRPr="00E94EBC">
        <w:rPr>
          <w:rFonts w:ascii="Arial" w:hAnsi="Arial" w:cs="Arial"/>
        </w:rPr>
        <w:t>quick reference guides to help remember major decision points.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</w:rPr>
      </w:pPr>
      <w:r w:rsidRPr="00E94EBC">
        <w:rPr>
          <w:rFonts w:ascii="Arial" w:hAnsi="Arial" w:cs="Arial"/>
        </w:rPr>
        <w:t>Suicidal ideation is often a chronic state in some people, including those with borderline pe</w:t>
      </w:r>
      <w:r>
        <w:rPr>
          <w:rFonts w:ascii="Arial" w:hAnsi="Arial" w:cs="Arial"/>
        </w:rPr>
        <w:t xml:space="preserve">rsonality disorder (BPD), and it </w:t>
      </w:r>
      <w:r w:rsidRPr="00E94EBC">
        <w:rPr>
          <w:rFonts w:ascii="Arial" w:hAnsi="Arial" w:cs="Arial"/>
        </w:rPr>
        <w:t>does not always represent sincere life-threatening intent. However, at least three-quarters of</w:t>
      </w:r>
      <w:r>
        <w:rPr>
          <w:rFonts w:ascii="Arial" w:hAnsi="Arial" w:cs="Arial"/>
        </w:rPr>
        <w:t xml:space="preserve"> people with BPD will eventually </w:t>
      </w:r>
      <w:r w:rsidRPr="00E94EBC">
        <w:rPr>
          <w:rFonts w:ascii="Arial" w:hAnsi="Arial" w:cs="Arial"/>
        </w:rPr>
        <w:t>attempt suicide and approximately 10 per cent will complete suicide, so threats of suicide by those diagnosed with BPD</w:t>
      </w:r>
      <w:r>
        <w:rPr>
          <w:rFonts w:ascii="Arial" w:hAnsi="Arial" w:cs="Arial"/>
        </w:rPr>
        <w:t xml:space="preserve"> </w:t>
      </w:r>
      <w:r w:rsidRPr="00E94EBC">
        <w:rPr>
          <w:rFonts w:ascii="Arial" w:hAnsi="Arial" w:cs="Arial"/>
        </w:rPr>
        <w:t>must always be taken seriously.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</w:rPr>
      </w:pPr>
      <w:r w:rsidRPr="00E94EBC">
        <w:rPr>
          <w:rFonts w:ascii="Arial" w:hAnsi="Arial" w:cs="Arial"/>
        </w:rPr>
        <w:t>For detailed guidance on the appropriate assessment and management of people who self-harm, refer to guidelines</w:t>
      </w:r>
      <w:r>
        <w:rPr>
          <w:rFonts w:ascii="Arial" w:hAnsi="Arial" w:cs="Arial"/>
        </w:rPr>
        <w:t xml:space="preserve"> </w:t>
      </w:r>
      <w:r w:rsidRPr="00E94EBC">
        <w:rPr>
          <w:rFonts w:ascii="Arial" w:hAnsi="Arial" w:cs="Arial"/>
        </w:rPr>
        <w:t>published by the Royal Australian and New Zealand College of Psychiatrists and the Australian College of Emergency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</w:rPr>
      </w:pPr>
      <w:r w:rsidRPr="00E94EBC">
        <w:rPr>
          <w:rFonts w:ascii="Arial" w:hAnsi="Arial" w:cs="Arial"/>
        </w:rPr>
        <w:t xml:space="preserve">Medicine.1 Note that a basic or detailed mental health assessment can be performed by any </w:t>
      </w:r>
      <w:r>
        <w:rPr>
          <w:rFonts w:ascii="Arial" w:hAnsi="Arial" w:cs="Arial"/>
        </w:rPr>
        <w:t xml:space="preserve">staff member </w:t>
      </w:r>
      <w:r w:rsidRPr="00E94EBC">
        <w:rPr>
          <w:rFonts w:ascii="Arial" w:hAnsi="Arial" w:cs="Arial"/>
        </w:rPr>
        <w:t>provided they have suitable training in self-harm and supervision is available. In most cases, the assessment will be carried</w:t>
      </w:r>
      <w:r>
        <w:rPr>
          <w:rFonts w:ascii="Arial" w:hAnsi="Arial" w:cs="Arial"/>
        </w:rPr>
        <w:t xml:space="preserve"> </w:t>
      </w:r>
      <w:r w:rsidRPr="00E94EBC">
        <w:rPr>
          <w:rFonts w:ascii="Arial" w:hAnsi="Arial" w:cs="Arial"/>
        </w:rPr>
        <w:t>out by a psychiatrist or m</w:t>
      </w:r>
      <w:bookmarkStart w:id="0" w:name="_GoBack"/>
      <w:bookmarkEnd w:id="0"/>
      <w:r w:rsidRPr="00E94EBC">
        <w:rPr>
          <w:rFonts w:ascii="Arial" w:hAnsi="Arial" w:cs="Arial"/>
        </w:rPr>
        <w:t>ental health team member.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  <w:color w:val="365F91" w:themeColor="accent1" w:themeShade="BF"/>
        </w:rPr>
      </w:pPr>
      <w:r w:rsidRPr="00E94EBC">
        <w:rPr>
          <w:rFonts w:ascii="Arial" w:hAnsi="Arial" w:cs="Arial"/>
          <w:color w:val="365F91" w:themeColor="accent1" w:themeShade="BF"/>
        </w:rPr>
        <w:t>1. Establish rapport</w:t>
      </w:r>
    </w:p>
    <w:p w:rsidR="00E94EBC" w:rsidRPr="00E94EBC" w:rsidRDefault="00E94EBC" w:rsidP="00E94EBC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Be aware – people who self-harm will often, but not always, have an underlying psychiatric disorder.</w:t>
      </w:r>
    </w:p>
    <w:p w:rsidR="00E94EBC" w:rsidRPr="00E94EBC" w:rsidRDefault="00E94EBC" w:rsidP="00E94EBC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Be empathic – recognise the distress associated with deliberate self-harm and treat the person with respect.</w:t>
      </w:r>
    </w:p>
    <w:p w:rsidR="00E94EBC" w:rsidRPr="00E94EBC" w:rsidRDefault="00E94EBC" w:rsidP="00E94EBC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Actively listen – allow expression of feelings, accept the feelings and be patient.</w:t>
      </w:r>
    </w:p>
    <w:p w:rsidR="00E94EBC" w:rsidRPr="00E94EBC" w:rsidRDefault="00E94EBC" w:rsidP="00E94EBC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Be non-judgemental – don’t debate whether suicide is right or wrong or whether the person’s feelings are good or bad; don’t engage in a discussion on the value of life.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  <w:color w:val="365F91" w:themeColor="accent1" w:themeShade="BF"/>
        </w:rPr>
      </w:pPr>
      <w:r w:rsidRPr="00E94EBC">
        <w:rPr>
          <w:rFonts w:ascii="Arial" w:hAnsi="Arial" w:cs="Arial"/>
          <w:color w:val="365F91" w:themeColor="accent1" w:themeShade="BF"/>
        </w:rPr>
        <w:t>2. Collect collateral information and document it</w:t>
      </w:r>
    </w:p>
    <w:p w:rsidR="00E94EBC" w:rsidRPr="00E94EBC" w:rsidRDefault="00E94EBC" w:rsidP="00E94EB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Obtain collateral information from medical records, paramedics, police, caregivers or referring doctors.</w:t>
      </w:r>
    </w:p>
    <w:p w:rsidR="00E94EBC" w:rsidRPr="00E94EBC" w:rsidRDefault="00E94EBC" w:rsidP="00E94EB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Document and pass this information on to the next attending clinician.</w:t>
      </w:r>
    </w:p>
    <w:p w:rsidR="00E94EBC" w:rsidRPr="00E94EBC" w:rsidRDefault="00E94EBC" w:rsidP="00E94EB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Ask accompanying friends or family members to remain available to ensure collateral information.</w:t>
      </w:r>
    </w:p>
    <w:p w:rsidR="00E94EBC" w:rsidRPr="00E94EBC" w:rsidRDefault="00E94EBC" w:rsidP="00E94EB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Record a description of what the person is wearing to aid iden</w:t>
      </w:r>
      <w:r>
        <w:rPr>
          <w:rFonts w:ascii="Arial" w:hAnsi="Arial" w:cs="Arial"/>
        </w:rPr>
        <w:t>tification if the person leaves.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  <w:color w:val="365F91" w:themeColor="accent1" w:themeShade="BF"/>
        </w:rPr>
      </w:pPr>
      <w:r w:rsidRPr="00E94EBC">
        <w:rPr>
          <w:rFonts w:ascii="Arial" w:hAnsi="Arial" w:cs="Arial"/>
          <w:color w:val="365F91" w:themeColor="accent1" w:themeShade="BF"/>
        </w:rPr>
        <w:t>3. Assessment</w:t>
      </w:r>
    </w:p>
    <w:p w:rsidR="00E94EBC" w:rsidRPr="00E94EBC" w:rsidRDefault="00E94EBC" w:rsidP="00E94EBC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 xml:space="preserve">Be vigilant – many people who present following self-harm are highly likely to leave </w:t>
      </w:r>
      <w:proofErr w:type="gramStart"/>
      <w:r>
        <w:rPr>
          <w:rFonts w:ascii="Arial" w:hAnsi="Arial" w:cs="Arial"/>
        </w:rPr>
        <w:t>an</w:t>
      </w:r>
      <w:proofErr w:type="gramEnd"/>
      <w:r w:rsidRPr="00E94EBC">
        <w:rPr>
          <w:rFonts w:ascii="Arial" w:hAnsi="Arial" w:cs="Arial"/>
        </w:rPr>
        <w:t xml:space="preserve"> psychosocial assessment, and are at high risk of repetition or even suicide.</w:t>
      </w:r>
    </w:p>
    <w:p w:rsidR="00E94EBC" w:rsidRPr="00E94EBC" w:rsidRDefault="00E94EBC" w:rsidP="00E94EBC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Assess and manage the person’s physical condition.</w:t>
      </w:r>
    </w:p>
    <w:p w:rsidR="00E94EBC" w:rsidRPr="00E94EBC" w:rsidRDefault="00E94EBC" w:rsidP="00E94EBC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Carry out a mental health assessment concurrently with the medical assessment.</w:t>
      </w:r>
    </w:p>
    <w:p w:rsidR="00E94EBC" w:rsidRPr="00E94EBC" w:rsidRDefault="00E94EBC" w:rsidP="00E94EBC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Make enquiries about any recent changes in the person’s situation or relationships.</w:t>
      </w:r>
    </w:p>
    <w:p w:rsidR="00E94EBC" w:rsidRPr="00E94EBC" w:rsidRDefault="00E94EBC" w:rsidP="00E94EBC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Be mindful of your own reactions to ensure that they do not interfere with the assessment or management of a person who repeatedly self-harms.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  <w:color w:val="365F91" w:themeColor="accent1" w:themeShade="BF"/>
        </w:rPr>
      </w:pPr>
      <w:r w:rsidRPr="00E94EBC">
        <w:rPr>
          <w:rFonts w:ascii="Arial" w:hAnsi="Arial" w:cs="Arial"/>
          <w:color w:val="365F91" w:themeColor="accent1" w:themeShade="BF"/>
        </w:rPr>
        <w:t>4. Management</w:t>
      </w:r>
    </w:p>
    <w:p w:rsidR="00E94EBC" w:rsidRPr="00E94EBC" w:rsidRDefault="00E94EBC" w:rsidP="00E94EB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 xml:space="preserve">Consider providing both written information and verbal explanation about the purpose of the treatment being offered. Often, people are initially incapable of making </w:t>
      </w:r>
      <w:r w:rsidRPr="00E94EBC">
        <w:rPr>
          <w:rFonts w:ascii="Arial" w:hAnsi="Arial" w:cs="Arial"/>
        </w:rPr>
        <w:lastRenderedPageBreak/>
        <w:t>important health care decisions because of the physical and mental distress that they are experiencing.</w:t>
      </w:r>
    </w:p>
    <w:p w:rsidR="00E94EBC" w:rsidRPr="00E94EBC" w:rsidRDefault="00E94EBC" w:rsidP="00E94EB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Avoid hospitalisation of people for repeated self-harm where possible, as it is considered counter-therapeutic.</w:t>
      </w:r>
    </w:p>
    <w:p w:rsidR="00E94EBC" w:rsidRPr="00E94EBC" w:rsidRDefault="00E94EBC" w:rsidP="00E94EB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If possible, consult with other professionals before making the decision to hospitalise a person.</w:t>
      </w:r>
    </w:p>
    <w:p w:rsidR="00E94EBC" w:rsidRPr="00E94EBC" w:rsidRDefault="00E94EBC" w:rsidP="00E94EB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>Keep any hospitalisation brief and symptom-focused when risk clearly warrants it.</w:t>
      </w:r>
    </w:p>
    <w:p w:rsidR="00E94EBC" w:rsidRPr="00E94EBC" w:rsidRDefault="00E94EBC" w:rsidP="00E94EBC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E94EBC">
        <w:rPr>
          <w:rFonts w:ascii="Arial" w:hAnsi="Arial" w:cs="Arial"/>
        </w:rPr>
        <w:t xml:space="preserve">For people who present frequently with self-harm, develop a comprehensive, individualised management </w:t>
      </w:r>
      <w:proofErr w:type="gramStart"/>
      <w:r w:rsidRPr="00E94EBC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 </w:t>
      </w:r>
      <w:r w:rsidRPr="00E94EBC">
        <w:rPr>
          <w:rFonts w:ascii="Arial" w:hAnsi="Arial" w:cs="Arial"/>
        </w:rPr>
        <w:t>with</w:t>
      </w:r>
      <w:proofErr w:type="gramEnd"/>
      <w:r w:rsidRPr="00E94EBC">
        <w:rPr>
          <w:rFonts w:ascii="Arial" w:hAnsi="Arial" w:cs="Arial"/>
        </w:rPr>
        <w:t xml:space="preserve"> the person and in collaboration with the mental health clinicians involved in their care.</w:t>
      </w: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</w:rPr>
      </w:pPr>
      <w:r w:rsidRPr="00E94EBC">
        <w:rPr>
          <w:rFonts w:ascii="Arial" w:hAnsi="Arial" w:cs="Arial"/>
        </w:rPr>
        <w:t>Area mental health services can refer case-managed clients with underlying personality disorder to professionals</w:t>
      </w:r>
      <w:r>
        <w:rPr>
          <w:rFonts w:ascii="Arial" w:hAnsi="Arial" w:cs="Arial"/>
        </w:rPr>
        <w:t xml:space="preserve"> </w:t>
      </w:r>
      <w:r w:rsidRPr="00E94EBC">
        <w:rPr>
          <w:rFonts w:ascii="Arial" w:hAnsi="Arial" w:cs="Arial"/>
        </w:rPr>
        <w:t>with expertise in the area of personality disorder treatment (for example Spectrum, phone: 03 9871 3900).</w:t>
      </w:r>
    </w:p>
    <w:p w:rsidR="00682137" w:rsidRDefault="00E94EBC" w:rsidP="00E94EBC">
      <w:pPr>
        <w:spacing w:before="120" w:after="120"/>
        <w:ind w:left="-709"/>
        <w:rPr>
          <w:rFonts w:ascii="Arial" w:hAnsi="Arial" w:cs="Arial"/>
        </w:rPr>
      </w:pPr>
      <w:r w:rsidRPr="00E94EBC">
        <w:rPr>
          <w:rFonts w:ascii="Arial" w:hAnsi="Arial" w:cs="Arial"/>
        </w:rPr>
        <w:t>Consider a multidisciplinary review of the person and their health records, and include background information such</w:t>
      </w:r>
      <w:r>
        <w:rPr>
          <w:rFonts w:ascii="Arial" w:hAnsi="Arial" w:cs="Arial"/>
        </w:rPr>
        <w:t xml:space="preserve"> </w:t>
      </w:r>
      <w:r w:rsidRPr="00E94EBC">
        <w:rPr>
          <w:rFonts w:ascii="Arial" w:hAnsi="Arial" w:cs="Arial"/>
        </w:rPr>
        <w:t>as typical presentation, past medical and psychiatric</w:t>
      </w:r>
    </w:p>
    <w:p w:rsidR="00E94EBC" w:rsidRDefault="00E94EBC" w:rsidP="00E94EBC">
      <w:pPr>
        <w:spacing w:before="120" w:after="120"/>
        <w:ind w:left="-709"/>
        <w:rPr>
          <w:rFonts w:ascii="Arial" w:hAnsi="Arial" w:cs="Arial"/>
        </w:rPr>
      </w:pPr>
    </w:p>
    <w:p w:rsidR="00E94EBC" w:rsidRPr="00E94EBC" w:rsidRDefault="00E94EBC" w:rsidP="00E94EBC">
      <w:pPr>
        <w:spacing w:before="120" w:after="120"/>
        <w:ind w:left="-709"/>
        <w:rPr>
          <w:rFonts w:ascii="Arial" w:hAnsi="Arial" w:cs="Arial"/>
        </w:rPr>
      </w:pPr>
      <w:proofErr w:type="gramStart"/>
      <w:r w:rsidRPr="00E94EBC">
        <w:rPr>
          <w:rFonts w:ascii="Arial" w:hAnsi="Arial" w:cs="Arial"/>
        </w:rPr>
        <w:t>Australasian College for Emergency Medicine &amp; RANZCP, Melbourne.</w:t>
      </w:r>
      <w:proofErr w:type="gramEnd"/>
    </w:p>
    <w:sectPr w:rsidR="00E94EBC" w:rsidRPr="00E94EBC" w:rsidSect="00E94EB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377"/>
    <w:multiLevelType w:val="hybridMultilevel"/>
    <w:tmpl w:val="181667A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82F23B2"/>
    <w:multiLevelType w:val="hybridMultilevel"/>
    <w:tmpl w:val="4D4CAC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85040C5"/>
    <w:multiLevelType w:val="hybridMultilevel"/>
    <w:tmpl w:val="01F203F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47C485E"/>
    <w:multiLevelType w:val="hybridMultilevel"/>
    <w:tmpl w:val="0EC4F3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C"/>
    <w:rsid w:val="00494A98"/>
    <w:rsid w:val="00682137"/>
    <w:rsid w:val="00754021"/>
    <w:rsid w:val="007B6455"/>
    <w:rsid w:val="00E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E21AA4D1.dotm</Template>
  <TotalTime>13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ashleynurse</dc:creator>
  <cp:lastModifiedBy>ashleynurse</cp:lastModifiedBy>
  <cp:revision>2</cp:revision>
  <dcterms:created xsi:type="dcterms:W3CDTF">2017-02-11T02:43:00Z</dcterms:created>
  <dcterms:modified xsi:type="dcterms:W3CDTF">2017-02-12T02:06:00Z</dcterms:modified>
</cp:coreProperties>
</file>